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 w:firstLineChars="200"/>
        <w:jc w:val="center"/>
        <w:textAlignment w:val="auto"/>
        <w:outlineLvl w:val="9"/>
        <w:rPr>
          <w:rFonts w:hint="eastAsia" w:eastAsia="黑体"/>
          <w:b/>
          <w:sz w:val="2"/>
          <w:szCs w:val="2"/>
        </w:rPr>
      </w:pPr>
    </w:p>
    <w:p>
      <w:pPr>
        <w:spacing w:line="360" w:lineRule="auto"/>
        <w:ind w:firstLine="803" w:firstLineChars="200"/>
        <w:jc w:val="center"/>
        <w:rPr>
          <w:rFonts w:hint="eastAsia" w:eastAsia="黑体"/>
          <w:b/>
          <w:sz w:val="40"/>
          <w:szCs w:val="40"/>
        </w:rPr>
      </w:pPr>
      <w:r>
        <w:rPr>
          <w:rFonts w:hint="eastAsia" w:eastAsia="黑体"/>
          <w:b/>
          <w:sz w:val="40"/>
          <w:szCs w:val="40"/>
        </w:rPr>
        <w:t>海科集团</w:t>
      </w:r>
      <w:r>
        <w:rPr>
          <w:rFonts w:hint="eastAsia" w:eastAsia="黑体"/>
          <w:b/>
          <w:sz w:val="40"/>
          <w:szCs w:val="40"/>
          <w:lang w:val="en-US" w:eastAsia="zh-CN"/>
        </w:rPr>
        <w:t>2018</w:t>
      </w:r>
      <w:r>
        <w:rPr>
          <w:rFonts w:hint="eastAsia" w:eastAsia="黑体"/>
          <w:b/>
          <w:sz w:val="40"/>
          <w:szCs w:val="40"/>
        </w:rPr>
        <w:t>校园招聘简章</w:t>
      </w:r>
    </w:p>
    <w:p>
      <w:pPr>
        <w:tabs>
          <w:tab w:val="center" w:pos="4397"/>
        </w:tabs>
        <w:spacing w:line="240" w:lineRule="auto"/>
        <w:ind w:left="0" w:leftChars="0" w:firstLine="0" w:firstLineChars="0"/>
        <w:rPr>
          <w:rFonts w:hint="eastAsia" w:ascii="仿宋_GB2312" w:hAnsi="宋体" w:eastAsia="仿宋_GB2312"/>
          <w:b/>
          <w:sz w:val="22"/>
          <w:szCs w:val="22"/>
        </w:rPr>
      </w:pPr>
    </w:p>
    <w:p>
      <w:pPr>
        <w:tabs>
          <w:tab w:val="center" w:pos="4397"/>
        </w:tabs>
        <w:spacing w:line="360" w:lineRule="auto"/>
        <w:ind w:left="0" w:leftChars="0" w:firstLine="482" w:firstLineChars="200"/>
        <w:rPr>
          <w:rFonts w:hint="eastAsia"/>
          <w:b/>
          <w:bCs/>
          <w:color w:val="FF0000"/>
          <w:sz w:val="24"/>
          <w:szCs w:val="24"/>
        </w:rPr>
      </w:pPr>
      <w:r>
        <w:rPr>
          <w:rFonts w:hint="eastAsia"/>
          <w:b/>
          <w:bCs/>
          <w:sz w:val="24"/>
          <w:szCs w:val="24"/>
        </w:rPr>
        <w:t>海科集团是一家有国企背景的英国上市集团，中国500强第295位，化工民营企业中国第3名。旗下员工4000名，年销售收入5</w:t>
      </w:r>
      <w:r>
        <w:rPr>
          <w:rFonts w:hint="eastAsia"/>
          <w:b/>
          <w:bCs/>
          <w:sz w:val="24"/>
          <w:szCs w:val="24"/>
          <w:lang w:val="en-US" w:eastAsia="zh-CN"/>
        </w:rPr>
        <w:t>5</w:t>
      </w:r>
      <w:r>
        <w:rPr>
          <w:rFonts w:hint="eastAsia"/>
          <w:b/>
          <w:bCs/>
          <w:sz w:val="24"/>
          <w:szCs w:val="24"/>
          <w:lang w:eastAsia="zh-CN"/>
        </w:rPr>
        <w:t>0</w:t>
      </w:r>
      <w:r>
        <w:rPr>
          <w:rFonts w:hint="eastAsia"/>
          <w:b/>
          <w:bCs/>
          <w:sz w:val="24"/>
          <w:szCs w:val="24"/>
        </w:rPr>
        <w:t xml:space="preserve">亿。    </w:t>
      </w:r>
      <w:r>
        <w:rPr>
          <w:rFonts w:hint="eastAsia"/>
          <w:b/>
          <w:bCs/>
          <w:color w:val="FF0000"/>
          <w:sz w:val="24"/>
          <w:szCs w:val="24"/>
        </w:rPr>
        <w:t xml:space="preserve"> </w:t>
      </w:r>
    </w:p>
    <w:p>
      <w:pPr>
        <w:tabs>
          <w:tab w:val="center" w:pos="4397"/>
        </w:tabs>
        <w:spacing w:line="360" w:lineRule="auto"/>
        <w:ind w:left="0" w:leftChars="0" w:firstLine="0" w:firstLineChars="0"/>
        <w:rPr>
          <w:rFonts w:ascii="仿宋_GB2312" w:hAnsi="宋体" w:eastAsia="仿宋_GB2312"/>
          <w:b/>
          <w:sz w:val="32"/>
          <w:szCs w:val="32"/>
        </w:rPr>
      </w:pPr>
      <w:r>
        <w:rPr>
          <w:rFonts w:hint="eastAsia" w:ascii="仿宋_GB2312" w:hAnsi="宋体" w:eastAsia="仿宋_GB2312"/>
          <w:b/>
          <w:sz w:val="32"/>
          <w:szCs w:val="32"/>
        </w:rPr>
        <w:t>一、了解海科</w:t>
      </w:r>
    </w:p>
    <w:p>
      <w:pPr>
        <w:spacing w:line="560" w:lineRule="exact"/>
        <w:ind w:firstLine="562" w:firstLineChars="200"/>
        <w:rPr>
          <w:rFonts w:ascii="仿宋" w:hAnsi="仿宋" w:eastAsia="仿宋" w:cs="Arial"/>
          <w:color w:val="000000"/>
          <w:sz w:val="28"/>
          <w:szCs w:val="21"/>
        </w:rPr>
      </w:pPr>
      <w:r>
        <w:rPr>
          <w:rFonts w:hint="eastAsia" w:ascii="仿宋" w:hAnsi="仿宋" w:eastAsia="仿宋" w:cs="Arial"/>
          <w:b/>
          <w:color w:val="000000"/>
          <w:sz w:val="28"/>
          <w:szCs w:val="21"/>
        </w:rPr>
        <w:t>山东海科化工集团</w:t>
      </w:r>
      <w:r>
        <w:rPr>
          <w:rFonts w:hint="eastAsia" w:ascii="仿宋" w:hAnsi="仿宋" w:eastAsia="仿宋" w:cs="Arial"/>
          <w:color w:val="000000"/>
          <w:sz w:val="28"/>
          <w:szCs w:val="21"/>
        </w:rPr>
        <w:t>位于黄河三角洲中心城市—</w:t>
      </w:r>
      <w:r>
        <w:rPr>
          <w:rFonts w:hint="eastAsia" w:ascii="仿宋" w:hAnsi="仿宋" w:eastAsia="仿宋" w:cs="Arial"/>
          <w:b/>
          <w:color w:val="000000"/>
          <w:sz w:val="28"/>
          <w:szCs w:val="21"/>
        </w:rPr>
        <w:t>山东省东营市</w:t>
      </w:r>
      <w:r>
        <w:rPr>
          <w:rFonts w:hint="eastAsia" w:ascii="仿宋" w:hAnsi="仿宋" w:eastAsia="仿宋" w:cs="Arial"/>
          <w:color w:val="000000"/>
          <w:sz w:val="28"/>
          <w:szCs w:val="21"/>
        </w:rPr>
        <w:t>。集团始建于1988年，经过近三十年的发展，目前已发展成为集石化能源、新材料、生物制药、特种化学品、金融物流和国际贸易为一体的综合性化工企业集团。集团以山东海科控股有限公司为母公司，拥海内外二十余家下属公司。集团员工3</w:t>
      </w:r>
      <w:r>
        <w:rPr>
          <w:rFonts w:hint="eastAsia" w:ascii="仿宋" w:hAnsi="仿宋" w:eastAsia="仿宋" w:cs="Arial"/>
          <w:color w:val="000000"/>
          <w:sz w:val="28"/>
          <w:szCs w:val="21"/>
          <w:lang w:val="en-US" w:eastAsia="zh-CN"/>
        </w:rPr>
        <w:t>6</w:t>
      </w:r>
      <w:r>
        <w:rPr>
          <w:rFonts w:hint="eastAsia" w:ascii="仿宋" w:hAnsi="仿宋" w:eastAsia="仿宋" w:cs="Arial"/>
          <w:color w:val="000000"/>
          <w:sz w:val="28"/>
          <w:szCs w:val="21"/>
        </w:rPr>
        <w:t>00余人，2017年销售收入突破5</w:t>
      </w:r>
      <w:r>
        <w:rPr>
          <w:rFonts w:hint="eastAsia" w:ascii="仿宋" w:hAnsi="仿宋" w:eastAsia="仿宋" w:cs="Arial"/>
          <w:color w:val="000000"/>
          <w:sz w:val="28"/>
          <w:szCs w:val="21"/>
          <w:lang w:val="en-US" w:eastAsia="zh-CN"/>
        </w:rPr>
        <w:t>5</w:t>
      </w:r>
      <w:r>
        <w:rPr>
          <w:rFonts w:hint="eastAsia" w:ascii="仿宋" w:hAnsi="仿宋" w:eastAsia="仿宋" w:cs="Arial"/>
          <w:color w:val="000000"/>
          <w:sz w:val="28"/>
          <w:szCs w:val="21"/>
        </w:rPr>
        <w:t>0亿元</w:t>
      </w:r>
      <w:r>
        <w:rPr>
          <w:rFonts w:hint="eastAsia" w:ascii="仿宋" w:hAnsi="仿宋" w:eastAsia="仿宋" w:cs="Arial"/>
          <w:color w:val="000000"/>
          <w:sz w:val="28"/>
          <w:szCs w:val="21"/>
          <w:lang w:eastAsia="zh-CN"/>
        </w:rPr>
        <w:t>大关</w:t>
      </w:r>
      <w:r>
        <w:rPr>
          <w:rFonts w:hint="eastAsia" w:ascii="仿宋" w:hAnsi="仿宋" w:eastAsia="仿宋" w:cs="Arial"/>
          <w:color w:val="000000"/>
          <w:sz w:val="28"/>
          <w:szCs w:val="21"/>
        </w:rPr>
        <w:t>。</w:t>
      </w:r>
      <w:r>
        <w:rPr>
          <w:rFonts w:hint="eastAsia" w:ascii="仿宋" w:hAnsi="仿宋" w:eastAsia="仿宋" w:cs="Arial"/>
          <w:color w:val="000000"/>
          <w:sz w:val="28"/>
          <w:szCs w:val="21"/>
          <w:lang w:eastAsia="zh-CN"/>
        </w:rPr>
        <w:t>海科集团获得</w:t>
      </w:r>
      <w:r>
        <w:rPr>
          <w:rFonts w:hint="eastAsia" w:ascii="仿宋" w:hAnsi="仿宋" w:eastAsia="仿宋" w:cs="Arial"/>
          <w:color w:val="000000"/>
          <w:sz w:val="28"/>
          <w:szCs w:val="21"/>
        </w:rPr>
        <w:t>达沃斯世界经济论坛“全球成长型公司</w:t>
      </w:r>
      <w:r>
        <w:rPr>
          <w:rFonts w:ascii="仿宋" w:hAnsi="仿宋" w:eastAsia="仿宋" w:cs="Arial"/>
          <w:color w:val="000000"/>
          <w:sz w:val="28"/>
          <w:szCs w:val="21"/>
        </w:rPr>
        <w:t>”</w:t>
      </w:r>
      <w:r>
        <w:rPr>
          <w:rFonts w:hint="eastAsia" w:ascii="仿宋" w:hAnsi="仿宋" w:eastAsia="仿宋" w:cs="Arial"/>
          <w:color w:val="000000"/>
          <w:sz w:val="28"/>
          <w:szCs w:val="21"/>
        </w:rPr>
        <w:t>，“国家级高新技术企业”</w:t>
      </w:r>
      <w:r>
        <w:rPr>
          <w:rFonts w:hint="eastAsia" w:ascii="仿宋" w:hAnsi="仿宋" w:eastAsia="仿宋" w:cs="Arial"/>
          <w:color w:val="000000"/>
          <w:sz w:val="28"/>
          <w:szCs w:val="21"/>
          <w:lang w:eastAsia="zh-CN"/>
        </w:rPr>
        <w:t>等荣誉称号</w:t>
      </w:r>
      <w:r>
        <w:rPr>
          <w:rFonts w:hint="eastAsia" w:ascii="仿宋" w:hAnsi="仿宋" w:eastAsia="仿宋" w:cs="Arial"/>
          <w:color w:val="000000"/>
          <w:sz w:val="28"/>
          <w:szCs w:val="21"/>
        </w:rPr>
        <w:t>；2017年“中国企业500强</w:t>
      </w:r>
      <w:r>
        <w:rPr>
          <w:rFonts w:ascii="仿宋" w:hAnsi="仿宋" w:eastAsia="仿宋" w:cs="Arial"/>
          <w:color w:val="000000"/>
          <w:sz w:val="28"/>
          <w:szCs w:val="21"/>
        </w:rPr>
        <w:t>”</w:t>
      </w:r>
      <w:r>
        <w:rPr>
          <w:rFonts w:hint="eastAsia" w:ascii="仿宋" w:hAnsi="仿宋" w:eastAsia="仿宋" w:cs="Arial"/>
          <w:color w:val="000000"/>
          <w:sz w:val="28"/>
          <w:szCs w:val="21"/>
        </w:rPr>
        <w:t>295位、“中国制造业500强”132位、“中国专用化学品制造业百强”第1位。</w:t>
      </w:r>
    </w:p>
    <w:p>
      <w:pPr>
        <w:spacing w:line="560" w:lineRule="exact"/>
        <w:ind w:firstLine="560" w:firstLineChars="200"/>
        <w:rPr>
          <w:rFonts w:ascii="仿宋" w:hAnsi="仿宋" w:eastAsia="仿宋" w:cs="Arial"/>
          <w:color w:val="000000"/>
          <w:sz w:val="28"/>
          <w:szCs w:val="21"/>
        </w:rPr>
      </w:pPr>
      <w:r>
        <w:rPr>
          <w:rFonts w:hint="eastAsia" w:ascii="仿宋" w:hAnsi="仿宋" w:eastAsia="仿宋" w:cs="Arial"/>
          <w:color w:val="000000"/>
          <w:sz w:val="28"/>
          <w:szCs w:val="21"/>
        </w:rPr>
        <w:t>多年以来，海科集团致力打造从原料采购到产品供应的全数字化管控企业，建设五星级产品供应和服务体系，为客户提供最高品质的产品和最优质的服务，现发展成为中国领先的成品油、特殊化学品、生物医药的生产、服务供应商。</w:t>
      </w:r>
    </w:p>
    <w:p>
      <w:pPr>
        <w:spacing w:line="560" w:lineRule="exact"/>
        <w:ind w:firstLine="560" w:firstLineChars="200"/>
        <w:rPr>
          <w:rFonts w:ascii="仿宋" w:hAnsi="仿宋" w:eastAsia="仿宋" w:cs="Arial"/>
          <w:color w:val="000000"/>
          <w:sz w:val="28"/>
          <w:szCs w:val="21"/>
        </w:rPr>
      </w:pPr>
      <w:r>
        <w:rPr>
          <w:rFonts w:hint="eastAsia" w:ascii="仿宋" w:hAnsi="仿宋" w:eastAsia="仿宋" w:cs="Arial"/>
          <w:color w:val="000000"/>
          <w:sz w:val="28"/>
          <w:szCs w:val="21"/>
        </w:rPr>
        <w:t>做为首家登陆英国伦敦交易市场的中国化工企业，面对世界经济一体化的发展态势，海科集团不断转型、变革，未来五年，秉承“领军人才”战略，</w:t>
      </w:r>
      <w:r>
        <w:rPr>
          <w:rFonts w:hint="eastAsia" w:ascii="仿宋" w:hAnsi="仿宋" w:eastAsia="仿宋" w:cs="Arial"/>
          <w:b/>
          <w:bCs/>
          <w:color w:val="000000"/>
          <w:sz w:val="28"/>
          <w:szCs w:val="21"/>
        </w:rPr>
        <w:t>全力构筑开放创新</w:t>
      </w:r>
      <w:r>
        <w:rPr>
          <w:rFonts w:hint="eastAsia" w:ascii="仿宋" w:hAnsi="仿宋" w:eastAsia="仿宋" w:cs="Arial"/>
          <w:b/>
          <w:bCs/>
          <w:color w:val="000000"/>
          <w:sz w:val="28"/>
          <w:szCs w:val="21"/>
          <w:lang w:eastAsia="zh-CN"/>
        </w:rPr>
        <w:t>的核心</w:t>
      </w:r>
      <w:r>
        <w:rPr>
          <w:rFonts w:hint="eastAsia" w:ascii="仿宋" w:hAnsi="仿宋" w:eastAsia="仿宋" w:cs="Arial"/>
          <w:b/>
          <w:bCs/>
          <w:color w:val="000000"/>
          <w:sz w:val="28"/>
          <w:szCs w:val="21"/>
        </w:rPr>
        <w:t>竞争力</w:t>
      </w:r>
      <w:r>
        <w:rPr>
          <w:rFonts w:hint="eastAsia" w:ascii="仿宋" w:hAnsi="仿宋" w:eastAsia="仿宋" w:cs="Arial"/>
          <w:b/>
          <w:bCs/>
          <w:color w:val="000000"/>
          <w:sz w:val="28"/>
          <w:szCs w:val="21"/>
          <w:lang w:eastAsia="zh-CN"/>
        </w:rPr>
        <w:t>，</w:t>
      </w:r>
      <w:r>
        <w:rPr>
          <w:rFonts w:hint="eastAsia" w:ascii="仿宋" w:hAnsi="仿宋" w:eastAsia="仿宋" w:cs="Arial"/>
          <w:b/>
          <w:bCs/>
          <w:color w:val="000000"/>
          <w:sz w:val="28"/>
          <w:szCs w:val="21"/>
        </w:rPr>
        <w:t>以资本运作推集团战略转型，</w:t>
      </w:r>
      <w:r>
        <w:rPr>
          <w:rFonts w:hint="eastAsia" w:ascii="仿宋" w:hAnsi="仿宋" w:eastAsia="仿宋" w:cs="Arial"/>
          <w:b/>
          <w:bCs/>
          <w:color w:val="000000"/>
          <w:sz w:val="28"/>
          <w:szCs w:val="21"/>
          <w:lang w:eastAsia="zh-CN"/>
        </w:rPr>
        <w:t>加强轻资产运营，</w:t>
      </w:r>
      <w:r>
        <w:rPr>
          <w:rFonts w:hint="eastAsia" w:ascii="仿宋" w:hAnsi="仿宋" w:eastAsia="仿宋" w:cs="Arial"/>
          <w:b/>
          <w:bCs/>
          <w:color w:val="000000"/>
          <w:sz w:val="28"/>
          <w:szCs w:val="21"/>
        </w:rPr>
        <w:t>聚焦发展</w:t>
      </w:r>
      <w:r>
        <w:rPr>
          <w:rFonts w:hint="eastAsia" w:ascii="仿宋" w:hAnsi="仿宋" w:eastAsia="仿宋" w:cs="Arial"/>
          <w:b/>
          <w:bCs/>
          <w:color w:val="000000"/>
          <w:sz w:val="28"/>
          <w:szCs w:val="21"/>
          <w:lang w:eastAsia="zh-CN"/>
        </w:rPr>
        <w:t>新能源材料、半导体化学及营养与消费化学品</w:t>
      </w:r>
      <w:r>
        <w:rPr>
          <w:rFonts w:hint="eastAsia" w:ascii="仿宋" w:hAnsi="仿宋" w:eastAsia="仿宋" w:cs="Arial"/>
          <w:b/>
          <w:bCs/>
          <w:color w:val="000000"/>
          <w:sz w:val="28"/>
          <w:szCs w:val="21"/>
        </w:rPr>
        <w:t>业务，精准发展医药业务，差异化发展石化业务，稳健发展融资租赁业务，</w:t>
      </w:r>
      <w:r>
        <w:rPr>
          <w:rFonts w:hint="eastAsia" w:ascii="仿宋" w:hAnsi="仿宋" w:eastAsia="仿宋" w:cs="Arial"/>
          <w:b/>
          <w:bCs/>
          <w:color w:val="000000"/>
          <w:sz w:val="28"/>
          <w:szCs w:val="21"/>
          <w:lang w:eastAsia="zh-CN"/>
        </w:rPr>
        <w:t>突破基础化工经营模式，</w:t>
      </w:r>
      <w:r>
        <w:rPr>
          <w:rFonts w:hint="eastAsia" w:ascii="仿宋" w:hAnsi="仿宋" w:eastAsia="仿宋" w:cs="Arial"/>
          <w:b/>
          <w:bCs/>
          <w:color w:val="000000"/>
          <w:sz w:val="28"/>
          <w:szCs w:val="21"/>
        </w:rPr>
        <w:t>将</w:t>
      </w:r>
      <w:r>
        <w:rPr>
          <w:rFonts w:hint="eastAsia" w:ascii="仿宋" w:hAnsi="仿宋" w:eastAsia="仿宋" w:cs="Arial"/>
          <w:b/>
          <w:bCs/>
          <w:color w:val="000000"/>
          <w:sz w:val="28"/>
          <w:szCs w:val="21"/>
          <w:lang w:eastAsia="zh-CN"/>
        </w:rPr>
        <w:t>海科</w:t>
      </w:r>
      <w:r>
        <w:rPr>
          <w:rFonts w:hint="eastAsia" w:ascii="仿宋" w:hAnsi="仿宋" w:eastAsia="仿宋" w:cs="Arial"/>
          <w:b/>
          <w:bCs/>
          <w:color w:val="000000"/>
          <w:sz w:val="28"/>
          <w:szCs w:val="21"/>
        </w:rPr>
        <w:t>建设成为最具创新和服务能力的绿色企业集团</w:t>
      </w:r>
      <w:r>
        <w:rPr>
          <w:rFonts w:hint="eastAsia" w:ascii="仿宋" w:hAnsi="仿宋" w:eastAsia="仿宋" w:cs="Arial"/>
          <w:color w:val="000000"/>
          <w:sz w:val="28"/>
          <w:szCs w:val="21"/>
        </w:rPr>
        <w:t>。</w:t>
      </w:r>
    </w:p>
    <w:p>
      <w:pPr>
        <w:tabs>
          <w:tab w:val="center" w:pos="4397"/>
        </w:tabs>
        <w:spacing w:line="360" w:lineRule="auto"/>
        <w:ind w:left="0" w:leftChars="0" w:firstLine="0" w:firstLineChars="0"/>
        <w:rPr>
          <w:rFonts w:ascii="仿宋_GB2312" w:hAnsi="宋体" w:eastAsia="仿宋_GB2312"/>
          <w:b/>
          <w:sz w:val="32"/>
          <w:szCs w:val="32"/>
        </w:rPr>
      </w:pPr>
      <w:r>
        <w:rPr>
          <w:rFonts w:hint="eastAsia" w:ascii="仿宋_GB2312" w:hAnsi="宋体" w:eastAsia="仿宋_GB2312"/>
          <w:b/>
          <w:sz w:val="32"/>
          <w:szCs w:val="32"/>
        </w:rPr>
        <w:t>二、选择海科的理由</w:t>
      </w:r>
    </w:p>
    <w:p>
      <w:pPr>
        <w:spacing w:line="360" w:lineRule="auto"/>
        <w:ind w:firstLine="560" w:firstLineChars="200"/>
        <w:rPr>
          <w:rFonts w:ascii="仿宋_GB2312" w:eastAsia="仿宋_GB2312"/>
          <w:bCs/>
          <w:sz w:val="28"/>
          <w:szCs w:val="28"/>
        </w:rPr>
      </w:pPr>
      <w:r>
        <w:rPr>
          <w:rFonts w:hint="eastAsia" w:ascii="仿宋_GB2312" w:hAnsi="宋体" w:eastAsia="仿宋_GB2312"/>
          <w:bCs/>
          <w:sz w:val="28"/>
          <w:szCs w:val="28"/>
        </w:rPr>
        <w:t>选择海科，一份可以倾情投入的人生事业！</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在海科，您的工作不仅仅是一份职业，不仅仅是谋生的手段，您的工作将是一份事业，海科人相信，通过辛勤的付出和团队共同努力，海科的明天、您的世界将会变得更加美好！</w:t>
      </w:r>
    </w:p>
    <w:p>
      <w:pPr>
        <w:spacing w:line="360" w:lineRule="auto"/>
        <w:ind w:left="0" w:leftChars="0" w:firstLine="0" w:firstLineChars="0"/>
        <w:rPr>
          <w:rFonts w:ascii="仿宋_GB2312" w:eastAsia="仿宋_GB2312"/>
          <w:b/>
          <w:sz w:val="32"/>
          <w:szCs w:val="32"/>
        </w:rPr>
      </w:pPr>
      <w:r>
        <w:rPr>
          <w:rFonts w:hint="eastAsia" w:ascii="仿宋_GB2312" w:hAnsi="宋体" w:eastAsia="仿宋_GB2312"/>
          <w:b/>
          <w:sz w:val="32"/>
          <w:szCs w:val="32"/>
        </w:rPr>
        <w:t>三、文化理念</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1、企业使命</w:t>
      </w:r>
      <w:r>
        <w:rPr>
          <w:rFonts w:hint="eastAsia" w:ascii="仿宋_GB2312" w:hAnsi="宋体" w:eastAsia="仿宋_GB2312"/>
          <w:sz w:val="28"/>
          <w:szCs w:val="28"/>
          <w:lang w:eastAsia="zh-CN"/>
        </w:rPr>
        <w:t>——</w:t>
      </w:r>
      <w:r>
        <w:rPr>
          <w:rFonts w:hint="eastAsia" w:ascii="仿宋_GB2312" w:hAnsi="宋体" w:eastAsia="仿宋_GB2312"/>
          <w:sz w:val="28"/>
          <w:szCs w:val="28"/>
        </w:rPr>
        <w:t>“缔造绿色世界”</w:t>
      </w:r>
    </w:p>
    <w:p>
      <w:pPr>
        <w:spacing w:line="360" w:lineRule="auto"/>
        <w:ind w:left="0" w:leftChars="0" w:firstLine="1260" w:firstLineChars="450"/>
        <w:rPr>
          <w:rFonts w:ascii="仿宋_GB2312" w:hAnsi="宋体" w:eastAsia="仿宋_GB2312"/>
          <w:sz w:val="28"/>
          <w:szCs w:val="28"/>
        </w:rPr>
      </w:pPr>
      <w:r>
        <w:rPr>
          <w:rFonts w:hint="eastAsia" w:ascii="仿宋_GB2312" w:hAnsi="宋体" w:eastAsia="仿宋_GB2312"/>
          <w:sz w:val="28"/>
          <w:szCs w:val="28"/>
        </w:rPr>
        <w:t>释义：</w:t>
      </w:r>
    </w:p>
    <w:p>
      <w:pPr>
        <w:spacing w:line="360" w:lineRule="auto"/>
        <w:ind w:left="0" w:leftChars="0" w:firstLine="1260" w:firstLineChars="450"/>
        <w:rPr>
          <w:rFonts w:ascii="仿宋_GB2312" w:hAnsi="宋体" w:eastAsia="仿宋_GB2312"/>
          <w:sz w:val="28"/>
          <w:szCs w:val="28"/>
        </w:rPr>
      </w:pPr>
      <w:r>
        <w:rPr>
          <w:rFonts w:hint="eastAsia" w:ascii="仿宋_GB2312" w:hAnsi="宋体" w:eastAsia="仿宋_GB2312"/>
          <w:sz w:val="28"/>
          <w:szCs w:val="28"/>
        </w:rPr>
        <w:t>关爱社会，保护环境------社会形象的绿色</w:t>
      </w:r>
    </w:p>
    <w:p>
      <w:pPr>
        <w:spacing w:line="360" w:lineRule="auto"/>
        <w:ind w:left="0" w:leftChars="0" w:firstLine="1260" w:firstLineChars="450"/>
        <w:rPr>
          <w:rFonts w:ascii="仿宋_GB2312" w:hAnsi="宋体" w:eastAsia="仿宋_GB2312"/>
          <w:sz w:val="28"/>
          <w:szCs w:val="28"/>
        </w:rPr>
      </w:pPr>
      <w:r>
        <w:rPr>
          <w:rFonts w:hint="eastAsia" w:ascii="仿宋_GB2312" w:hAnsi="宋体" w:eastAsia="仿宋_GB2312"/>
          <w:sz w:val="28"/>
          <w:szCs w:val="28"/>
        </w:rPr>
        <w:t>遵守法律，诚信经营------经营行为的绿色</w:t>
      </w:r>
    </w:p>
    <w:p>
      <w:pPr>
        <w:spacing w:line="360" w:lineRule="auto"/>
        <w:ind w:left="0" w:leftChars="0" w:firstLine="1260" w:firstLineChars="450"/>
        <w:rPr>
          <w:rFonts w:ascii="仿宋_GB2312" w:hAnsi="宋体" w:eastAsia="仿宋_GB2312"/>
          <w:sz w:val="28"/>
          <w:szCs w:val="28"/>
        </w:rPr>
      </w:pPr>
      <w:r>
        <w:rPr>
          <w:rFonts w:hint="eastAsia" w:ascii="仿宋_GB2312" w:hAnsi="宋体" w:eastAsia="仿宋_GB2312"/>
          <w:sz w:val="28"/>
          <w:szCs w:val="28"/>
        </w:rPr>
        <w:t>尊重员工，尊重知识------企业文化的绿色</w:t>
      </w:r>
    </w:p>
    <w:p>
      <w:pPr>
        <w:spacing w:line="360" w:lineRule="auto"/>
        <w:ind w:left="0" w:leftChars="0" w:firstLine="1260" w:firstLineChars="450"/>
        <w:rPr>
          <w:rFonts w:ascii="仿宋_GB2312" w:hAnsi="宋体" w:eastAsia="仿宋_GB2312"/>
          <w:sz w:val="28"/>
          <w:szCs w:val="28"/>
        </w:rPr>
      </w:pPr>
      <w:r>
        <w:rPr>
          <w:rFonts w:hint="eastAsia" w:ascii="仿宋_GB2312" w:hAnsi="宋体" w:eastAsia="仿宋_GB2312"/>
          <w:sz w:val="28"/>
          <w:szCs w:val="28"/>
        </w:rPr>
        <w:t>文明生产，现代生产------生产过程的绿色</w:t>
      </w:r>
    </w:p>
    <w:p>
      <w:pPr>
        <w:spacing w:line="360" w:lineRule="auto"/>
        <w:ind w:left="0" w:leftChars="0" w:firstLine="1260" w:firstLineChars="450"/>
        <w:rPr>
          <w:rFonts w:ascii="仿宋_GB2312" w:hAnsi="宋体" w:eastAsia="仿宋_GB2312"/>
          <w:sz w:val="28"/>
          <w:szCs w:val="28"/>
        </w:rPr>
      </w:pPr>
      <w:r>
        <w:rPr>
          <w:rFonts w:hint="eastAsia" w:ascii="仿宋_GB2312" w:hAnsi="宋体" w:eastAsia="仿宋_GB2312"/>
          <w:sz w:val="28"/>
          <w:szCs w:val="28"/>
        </w:rPr>
        <w:t>注重长远，坚定信仰------发展战略的绿色</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2、企业愿景</w:t>
      </w:r>
      <w:r>
        <w:rPr>
          <w:rFonts w:hint="eastAsia" w:ascii="仿宋_GB2312" w:hAnsi="宋体" w:eastAsia="仿宋_GB2312"/>
          <w:sz w:val="28"/>
          <w:szCs w:val="28"/>
          <w:lang w:eastAsia="zh-CN"/>
        </w:rPr>
        <w:t>——</w:t>
      </w:r>
      <w:r>
        <w:rPr>
          <w:rFonts w:hint="eastAsia" w:ascii="仿宋_GB2312" w:eastAsia="仿宋_GB2312"/>
          <w:sz w:val="28"/>
          <w:szCs w:val="28"/>
        </w:rPr>
        <w:t>“</w:t>
      </w:r>
      <w:r>
        <w:rPr>
          <w:rFonts w:hint="eastAsia" w:ascii="仿宋_GB2312" w:hAnsi="宋体" w:eastAsia="仿宋_GB2312"/>
          <w:sz w:val="28"/>
          <w:szCs w:val="28"/>
        </w:rPr>
        <w:t>打造最具创新和服务能力的绿色企业集团</w:t>
      </w:r>
      <w:r>
        <w:rPr>
          <w:rFonts w:hint="eastAsia" w:ascii="仿宋_GB2312" w:eastAsia="仿宋_GB2312"/>
          <w:sz w:val="28"/>
          <w:szCs w:val="28"/>
        </w:rPr>
        <w:t>”</w:t>
      </w:r>
      <w:r>
        <w:rPr>
          <w:rFonts w:hint="eastAsia" w:ascii="仿宋_GB2312" w:hAnsi="宋体" w:eastAsia="仿宋_GB2312"/>
          <w:sz w:val="28"/>
          <w:szCs w:val="28"/>
        </w:rPr>
        <w:t>。</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3、企业精神</w:t>
      </w:r>
      <w:r>
        <w:rPr>
          <w:rFonts w:hint="eastAsia" w:ascii="仿宋_GB2312" w:hAnsi="宋体" w:eastAsia="仿宋_GB2312"/>
          <w:sz w:val="28"/>
          <w:szCs w:val="28"/>
          <w:lang w:eastAsia="zh-CN"/>
        </w:rPr>
        <w:t>——</w:t>
      </w:r>
      <w:r>
        <w:rPr>
          <w:rFonts w:hint="eastAsia" w:ascii="仿宋_GB2312" w:eastAsia="仿宋_GB2312"/>
          <w:sz w:val="28"/>
          <w:szCs w:val="28"/>
        </w:rPr>
        <w:t>“</w:t>
      </w:r>
      <w:r>
        <w:rPr>
          <w:rFonts w:hint="eastAsia" w:ascii="仿宋_GB2312" w:hAnsi="宋体" w:eastAsia="仿宋_GB2312"/>
          <w:sz w:val="28"/>
          <w:szCs w:val="28"/>
        </w:rPr>
        <w:t>学习、现代、速度、精细</w:t>
      </w:r>
      <w:r>
        <w:rPr>
          <w:rFonts w:hint="eastAsia" w:ascii="仿宋_GB2312" w:eastAsia="仿宋_GB2312"/>
          <w:sz w:val="28"/>
          <w:szCs w:val="28"/>
        </w:rPr>
        <w:t>”</w:t>
      </w:r>
      <w:r>
        <w:rPr>
          <w:rFonts w:hint="eastAsia" w:ascii="仿宋_GB2312" w:eastAsia="仿宋_GB2312"/>
          <w:sz w:val="28"/>
          <w:szCs w:val="28"/>
          <w:lang w:eastAsia="zh-CN"/>
        </w:rPr>
        <w:t>。</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4、核心价值观</w:t>
      </w:r>
    </w:p>
    <w:p>
      <w:pPr>
        <w:spacing w:line="360" w:lineRule="auto"/>
        <w:ind w:left="0" w:leftChars="0" w:firstLine="1260" w:firstLineChars="450"/>
        <w:rPr>
          <w:rFonts w:ascii="仿宋_GB2312" w:eastAsia="仿宋_GB2312"/>
          <w:sz w:val="28"/>
          <w:szCs w:val="28"/>
        </w:rPr>
      </w:pPr>
      <w:r>
        <w:rPr>
          <w:rFonts w:hint="eastAsia" w:ascii="仿宋_GB2312" w:eastAsia="仿宋_GB2312"/>
          <w:sz w:val="28"/>
          <w:szCs w:val="28"/>
        </w:rPr>
        <w:t>学习、学习、在学习；</w:t>
      </w:r>
    </w:p>
    <w:p>
      <w:pPr>
        <w:spacing w:line="360" w:lineRule="auto"/>
        <w:ind w:left="0" w:leftChars="0" w:firstLine="1260" w:firstLineChars="450"/>
        <w:rPr>
          <w:rFonts w:ascii="仿宋_GB2312" w:eastAsia="仿宋_GB2312"/>
          <w:sz w:val="28"/>
          <w:szCs w:val="28"/>
        </w:rPr>
      </w:pPr>
      <w:r>
        <w:rPr>
          <w:rFonts w:hint="eastAsia" w:ascii="仿宋_GB2312" w:eastAsia="仿宋_GB2312"/>
          <w:sz w:val="28"/>
          <w:szCs w:val="28"/>
        </w:rPr>
        <w:t>向前、向前、再向前！</w:t>
      </w:r>
    </w:p>
    <w:p>
      <w:pPr>
        <w:spacing w:line="360" w:lineRule="auto"/>
        <w:ind w:left="0" w:leftChars="0" w:firstLine="1260" w:firstLineChars="450"/>
        <w:rPr>
          <w:rFonts w:hint="eastAsia" w:ascii="仿宋_GB2312" w:hAnsi="Calibri" w:eastAsia="仿宋_GB2312" w:cs="Arial"/>
          <w:sz w:val="28"/>
          <w:szCs w:val="28"/>
        </w:rPr>
      </w:pPr>
      <w:r>
        <w:rPr>
          <w:rFonts w:hint="eastAsia" w:ascii="仿宋_GB2312" w:hAnsi="Calibri" w:eastAsia="仿宋_GB2312" w:cs="Arial"/>
          <w:sz w:val="28"/>
          <w:szCs w:val="28"/>
        </w:rPr>
        <w:t>----“勇敢学习，拥抱变革，开放创新，争创领先，成就客户”</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br w:type="page"/>
      </w:r>
      <w:r>
        <w:rPr>
          <w:rFonts w:hint="eastAsia" w:ascii="仿宋_GB2312" w:hAnsi="宋体" w:eastAsia="仿宋_GB2312"/>
          <w:b/>
          <w:sz w:val="28"/>
          <w:szCs w:val="28"/>
        </w:rPr>
        <w:t>四、招聘方向及其专业设置</w:t>
      </w:r>
    </w:p>
    <w:tbl>
      <w:tblPr>
        <w:tblStyle w:val="10"/>
        <w:tblW w:w="10620" w:type="dxa"/>
        <w:jc w:val="center"/>
        <w:tblInd w:w="98" w:type="dxa"/>
        <w:tblLayout w:type="fixed"/>
        <w:tblCellMar>
          <w:top w:w="0" w:type="dxa"/>
          <w:left w:w="108" w:type="dxa"/>
          <w:bottom w:w="0" w:type="dxa"/>
          <w:right w:w="108" w:type="dxa"/>
        </w:tblCellMar>
      </w:tblPr>
      <w:tblGrid>
        <w:gridCol w:w="1598"/>
        <w:gridCol w:w="3217"/>
        <w:gridCol w:w="3318"/>
        <w:gridCol w:w="1239"/>
        <w:gridCol w:w="1248"/>
      </w:tblGrid>
      <w:tr>
        <w:tblPrEx>
          <w:tblLayout w:type="fixed"/>
          <w:tblCellMar>
            <w:top w:w="0" w:type="dxa"/>
            <w:left w:w="108" w:type="dxa"/>
            <w:bottom w:w="0" w:type="dxa"/>
            <w:right w:w="108" w:type="dxa"/>
          </w:tblCellMar>
        </w:tblPrEx>
        <w:trPr>
          <w:trHeight w:val="434" w:hRule="atLeast"/>
          <w:jc w:val="center"/>
        </w:trPr>
        <w:tc>
          <w:tcPr>
            <w:tcW w:w="1598" w:type="dxa"/>
            <w:tcBorders>
              <w:top w:val="single" w:color="333333" w:sz="8" w:space="0"/>
              <w:left w:val="single" w:color="333333" w:sz="8" w:space="0"/>
              <w:bottom w:val="single" w:color="auto" w:sz="4" w:space="0"/>
              <w:right w:val="single" w:color="000000" w:sz="4" w:space="0"/>
            </w:tcBorders>
            <w:shd w:val="clear" w:color="auto" w:fill="D8D8D8" w:themeFill="background1" w:themeFillShade="D9"/>
            <w:vAlign w:val="center"/>
          </w:tcPr>
          <w:p>
            <w:pPr>
              <w:widowControl/>
              <w:jc w:val="center"/>
              <w:rPr>
                <w:rFonts w:ascii="Arial" w:hAnsi="Arial" w:cs="Arial"/>
                <w:b/>
                <w:bCs/>
                <w:color w:val="000000"/>
                <w:kern w:val="0"/>
                <w:sz w:val="24"/>
              </w:rPr>
            </w:pPr>
            <w:r>
              <w:rPr>
                <w:rFonts w:ascii="Arial" w:hAnsi="Arial" w:cs="Arial"/>
                <w:b/>
                <w:bCs/>
                <w:color w:val="000000"/>
                <w:kern w:val="0"/>
                <w:sz w:val="24"/>
              </w:rPr>
              <w:t>拟聘岗位</w:t>
            </w:r>
          </w:p>
        </w:tc>
        <w:tc>
          <w:tcPr>
            <w:tcW w:w="3217" w:type="dxa"/>
            <w:tcBorders>
              <w:top w:val="single" w:color="333333" w:sz="8" w:space="0"/>
              <w:left w:val="nil"/>
              <w:bottom w:val="single" w:color="auto" w:sz="4" w:space="0"/>
              <w:right w:val="single" w:color="000000" w:sz="4" w:space="0"/>
            </w:tcBorders>
            <w:shd w:val="clear" w:color="auto" w:fill="D8D8D8" w:themeFill="background1" w:themeFillShade="D9"/>
            <w:vAlign w:val="center"/>
          </w:tcPr>
          <w:p>
            <w:pPr>
              <w:widowControl/>
              <w:jc w:val="center"/>
              <w:rPr>
                <w:rFonts w:ascii="Arial" w:hAnsi="Arial" w:cs="Arial"/>
                <w:b/>
                <w:bCs/>
                <w:color w:val="000000"/>
                <w:kern w:val="0"/>
                <w:sz w:val="24"/>
              </w:rPr>
            </w:pPr>
            <w:r>
              <w:rPr>
                <w:rFonts w:ascii="Arial" w:hAnsi="Arial" w:cs="Arial"/>
                <w:b/>
                <w:bCs/>
                <w:color w:val="000000"/>
                <w:kern w:val="0"/>
                <w:sz w:val="24"/>
              </w:rPr>
              <w:t>专业</w:t>
            </w:r>
          </w:p>
        </w:tc>
        <w:tc>
          <w:tcPr>
            <w:tcW w:w="3318" w:type="dxa"/>
            <w:tcBorders>
              <w:top w:val="single" w:color="333333" w:sz="8" w:space="0"/>
              <w:left w:val="nil"/>
              <w:bottom w:val="single" w:color="auto" w:sz="4" w:space="0"/>
              <w:right w:val="single" w:color="000000" w:sz="4" w:space="0"/>
            </w:tcBorders>
            <w:shd w:val="clear" w:color="auto" w:fill="D8D8D8" w:themeFill="background1" w:themeFillShade="D9"/>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学历及要求</w:t>
            </w:r>
          </w:p>
        </w:tc>
        <w:tc>
          <w:tcPr>
            <w:tcW w:w="1239" w:type="dxa"/>
            <w:tcBorders>
              <w:top w:val="single" w:color="333333" w:sz="8" w:space="0"/>
              <w:left w:val="nil"/>
              <w:bottom w:val="single" w:color="auto" w:sz="4" w:space="0"/>
              <w:right w:val="single" w:color="000000" w:sz="4" w:space="0"/>
            </w:tcBorders>
            <w:shd w:val="clear" w:color="auto" w:fill="D8D8D8" w:themeFill="background1" w:themeFillShade="D9"/>
            <w:vAlign w:val="center"/>
          </w:tcPr>
          <w:p>
            <w:pPr>
              <w:widowControl/>
              <w:jc w:val="center"/>
              <w:rPr>
                <w:rFonts w:ascii="Arial" w:hAnsi="Arial" w:cs="Arial"/>
                <w:b/>
                <w:bCs/>
                <w:color w:val="000000"/>
                <w:kern w:val="0"/>
                <w:sz w:val="24"/>
              </w:rPr>
            </w:pPr>
            <w:r>
              <w:rPr>
                <w:rFonts w:ascii="Arial" w:hAnsi="Arial" w:cs="Arial"/>
                <w:b/>
                <w:bCs/>
                <w:color w:val="000000"/>
                <w:kern w:val="0"/>
                <w:sz w:val="24"/>
              </w:rPr>
              <w:t>工作地点</w:t>
            </w:r>
          </w:p>
        </w:tc>
        <w:tc>
          <w:tcPr>
            <w:tcW w:w="1248" w:type="dxa"/>
            <w:tcBorders>
              <w:top w:val="single" w:color="333333" w:sz="8" w:space="0"/>
              <w:left w:val="nil"/>
              <w:bottom w:val="single" w:color="auto" w:sz="4" w:space="0"/>
              <w:right w:val="single" w:color="000000" w:sz="4" w:space="0"/>
            </w:tcBorders>
            <w:shd w:val="clear" w:color="auto" w:fill="D8D8D8" w:themeFill="background1" w:themeFillShade="D9"/>
            <w:vAlign w:val="center"/>
          </w:tcPr>
          <w:p>
            <w:pPr>
              <w:widowControl/>
              <w:jc w:val="center"/>
              <w:rPr>
                <w:rFonts w:ascii="Arial" w:hAnsi="Arial" w:cs="Arial"/>
                <w:b/>
                <w:bCs/>
                <w:color w:val="000000"/>
                <w:kern w:val="0"/>
                <w:sz w:val="24"/>
              </w:rPr>
            </w:pPr>
            <w:r>
              <w:rPr>
                <w:rFonts w:ascii="Arial" w:hAnsi="Arial" w:cs="Arial"/>
                <w:b/>
                <w:bCs/>
                <w:color w:val="000000"/>
                <w:kern w:val="0"/>
                <w:sz w:val="24"/>
              </w:rPr>
              <w:t>招聘人数</w:t>
            </w:r>
          </w:p>
        </w:tc>
      </w:tr>
      <w:tr>
        <w:tblPrEx>
          <w:tblLayout w:type="fixed"/>
          <w:tblCellMar>
            <w:top w:w="0" w:type="dxa"/>
            <w:left w:w="108" w:type="dxa"/>
            <w:bottom w:w="0" w:type="dxa"/>
            <w:right w:w="108" w:type="dxa"/>
          </w:tblCellMar>
        </w:tblPrEx>
        <w:trPr>
          <w:trHeight w:val="2505" w:hRule="atLeast"/>
          <w:jc w:val="center"/>
        </w:trPr>
        <w:tc>
          <w:tcPr>
            <w:tcW w:w="15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化工生产、技术、研发方向</w:t>
            </w:r>
          </w:p>
        </w:tc>
        <w:tc>
          <w:tcPr>
            <w:tcW w:w="32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应用化学、化学工程与工艺、化学、有机化学、化学工程、高分子化学、油气储运、电气工程与自动化、热能与动力工程等专业</w:t>
            </w:r>
          </w:p>
        </w:tc>
        <w:tc>
          <w:tcPr>
            <w:tcW w:w="33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本科及其以上</w:t>
            </w:r>
          </w:p>
        </w:tc>
        <w:tc>
          <w:tcPr>
            <w:tcW w:w="12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2"/>
                <w:szCs w:val="22"/>
              </w:rPr>
            </w:pPr>
            <w:r>
              <w:rPr>
                <w:rFonts w:hint="eastAsia" w:ascii="Arial" w:hAnsi="Arial" w:cs="Arial"/>
                <w:color w:val="000000"/>
                <w:kern w:val="0"/>
                <w:sz w:val="22"/>
                <w:szCs w:val="22"/>
              </w:rPr>
              <w:t>山东</w:t>
            </w:r>
            <w:r>
              <w:rPr>
                <w:rFonts w:hint="eastAsia" w:ascii="Arial" w:hAnsi="Arial" w:cs="Arial"/>
                <w:color w:val="000000"/>
                <w:kern w:val="0"/>
                <w:sz w:val="22"/>
                <w:szCs w:val="22"/>
                <w:lang w:eastAsia="zh-CN"/>
              </w:rPr>
              <w:t>、江苏</w:t>
            </w:r>
          </w:p>
        </w:tc>
        <w:tc>
          <w:tcPr>
            <w:tcW w:w="124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60</w:t>
            </w:r>
          </w:p>
        </w:tc>
      </w:tr>
      <w:tr>
        <w:tblPrEx>
          <w:tblLayout w:type="fixed"/>
          <w:tblCellMar>
            <w:top w:w="0" w:type="dxa"/>
            <w:left w:w="108" w:type="dxa"/>
            <w:bottom w:w="0" w:type="dxa"/>
            <w:right w:w="108" w:type="dxa"/>
          </w:tblCellMar>
        </w:tblPrEx>
        <w:trPr>
          <w:trHeight w:val="1995" w:hRule="atLeast"/>
          <w:jc w:val="center"/>
        </w:trPr>
        <w:tc>
          <w:tcPr>
            <w:tcW w:w="1598" w:type="dxa"/>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Arial" w:hAnsi="Arial" w:cs="Arial"/>
                <w:color w:val="000000"/>
                <w:kern w:val="0"/>
                <w:sz w:val="22"/>
                <w:szCs w:val="22"/>
              </w:rPr>
            </w:pPr>
            <w:r>
              <w:rPr>
                <w:rFonts w:hint="eastAsia" w:ascii="宋体" w:hAnsi="宋体" w:cs="Arial"/>
                <w:color w:val="000000"/>
                <w:kern w:val="0"/>
                <w:sz w:val="22"/>
                <w:szCs w:val="22"/>
              </w:rPr>
              <w:t>生物制药生产、技术、研发方向</w:t>
            </w:r>
          </w:p>
        </w:tc>
        <w:tc>
          <w:tcPr>
            <w:tcW w:w="3217" w:type="dxa"/>
            <w:tcBorders>
              <w:top w:val="nil"/>
              <w:left w:val="nil"/>
              <w:bottom w:val="nil"/>
              <w:right w:val="single" w:color="000000" w:sz="4" w:space="0"/>
            </w:tcBorders>
            <w:shd w:val="clear" w:color="000000" w:fill="FFFFFF"/>
            <w:vAlign w:val="center"/>
          </w:tcPr>
          <w:p>
            <w:pPr>
              <w:widowControl/>
              <w:jc w:val="left"/>
              <w:rPr>
                <w:rFonts w:ascii="Arial" w:hAnsi="Arial" w:cs="Arial"/>
                <w:color w:val="000000"/>
                <w:kern w:val="0"/>
                <w:sz w:val="22"/>
                <w:szCs w:val="22"/>
              </w:rPr>
            </w:pPr>
            <w:r>
              <w:rPr>
                <w:rFonts w:hint="eastAsia" w:ascii="Arial" w:hAnsi="Arial" w:cs="Arial"/>
                <w:color w:val="000000"/>
                <w:kern w:val="0"/>
                <w:sz w:val="22"/>
                <w:szCs w:val="22"/>
                <w:lang w:eastAsia="zh-CN"/>
              </w:rPr>
              <w:t>生物工程、</w:t>
            </w:r>
            <w:r>
              <w:rPr>
                <w:rFonts w:ascii="Arial" w:hAnsi="Arial" w:cs="Arial"/>
                <w:color w:val="000000"/>
                <w:kern w:val="0"/>
                <w:sz w:val="22"/>
                <w:szCs w:val="22"/>
              </w:rPr>
              <w:t>药物制剂、生物制药、药物分析、药物化学、药理学、药剂学、制药工程等专业</w:t>
            </w:r>
          </w:p>
        </w:tc>
        <w:tc>
          <w:tcPr>
            <w:tcW w:w="3318" w:type="dxa"/>
            <w:tcBorders>
              <w:top w:val="nil"/>
              <w:left w:val="nil"/>
              <w:bottom w:val="nil"/>
              <w:right w:val="nil"/>
            </w:tcBorders>
            <w:shd w:val="clear" w:color="000000" w:fill="FFFFFF"/>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本科及其以上</w:t>
            </w:r>
          </w:p>
        </w:tc>
        <w:tc>
          <w:tcPr>
            <w:tcW w:w="1239" w:type="dxa"/>
            <w:tcBorders>
              <w:top w:val="nil"/>
              <w:left w:val="single" w:color="auto" w:sz="4" w:space="0"/>
              <w:bottom w:val="nil"/>
              <w:right w:val="single" w:color="auto" w:sz="4" w:space="0"/>
            </w:tcBorders>
            <w:shd w:val="clear" w:color="000000" w:fill="FFFFFF"/>
            <w:vAlign w:val="center"/>
          </w:tcPr>
          <w:p>
            <w:pPr>
              <w:widowControl/>
              <w:jc w:val="center"/>
              <w:rPr>
                <w:rFonts w:ascii="Arial" w:hAnsi="Arial" w:cs="Arial"/>
                <w:color w:val="000000"/>
                <w:kern w:val="0"/>
                <w:sz w:val="22"/>
                <w:szCs w:val="22"/>
              </w:rPr>
            </w:pPr>
            <w:r>
              <w:rPr>
                <w:rFonts w:hint="eastAsia" w:ascii="Arial" w:hAnsi="Arial" w:cs="Arial"/>
                <w:color w:val="000000"/>
                <w:kern w:val="0"/>
                <w:sz w:val="22"/>
                <w:szCs w:val="22"/>
              </w:rPr>
              <w:t>山东</w:t>
            </w:r>
          </w:p>
        </w:tc>
        <w:tc>
          <w:tcPr>
            <w:tcW w:w="1248" w:type="dxa"/>
            <w:tcBorders>
              <w:top w:val="single" w:color="auto" w:sz="4" w:space="0"/>
              <w:left w:val="nil"/>
              <w:bottom w:val="nil"/>
              <w:right w:val="single" w:color="000000" w:sz="4" w:space="0"/>
            </w:tcBorders>
            <w:shd w:val="clear" w:color="000000" w:fill="FFFFFF"/>
            <w:vAlign w:val="center"/>
          </w:tcPr>
          <w:p>
            <w:pPr>
              <w:widowControl/>
              <w:jc w:val="center"/>
              <w:rPr>
                <w:rFonts w:ascii="Arial" w:hAnsi="Arial" w:cs="Arial"/>
                <w:color w:val="000000"/>
                <w:kern w:val="0"/>
                <w:sz w:val="22"/>
                <w:szCs w:val="22"/>
              </w:rPr>
            </w:pPr>
            <w:r>
              <w:rPr>
                <w:rFonts w:hint="eastAsia" w:ascii="Arial" w:hAnsi="Arial" w:cs="Arial"/>
                <w:color w:val="000000"/>
                <w:kern w:val="0"/>
                <w:sz w:val="22"/>
                <w:szCs w:val="22"/>
                <w:lang w:val="en-US" w:eastAsia="zh-CN"/>
              </w:rPr>
              <w:t>3</w:t>
            </w:r>
            <w:r>
              <w:rPr>
                <w:rFonts w:ascii="Arial" w:hAnsi="Arial" w:cs="Arial"/>
                <w:color w:val="000000"/>
                <w:kern w:val="0"/>
                <w:sz w:val="22"/>
                <w:szCs w:val="22"/>
              </w:rPr>
              <w:t>0</w:t>
            </w:r>
          </w:p>
        </w:tc>
      </w:tr>
      <w:tr>
        <w:tblPrEx>
          <w:tblLayout w:type="fixed"/>
          <w:tblCellMar>
            <w:top w:w="0" w:type="dxa"/>
            <w:left w:w="108" w:type="dxa"/>
            <w:bottom w:w="0" w:type="dxa"/>
            <w:right w:w="108" w:type="dxa"/>
          </w:tblCellMar>
        </w:tblPrEx>
        <w:trPr>
          <w:trHeight w:val="1195" w:hRule="atLeast"/>
          <w:jc w:val="center"/>
        </w:trPr>
        <w:tc>
          <w:tcPr>
            <w:tcW w:w="15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设备、电气、机电、机械类方向</w:t>
            </w:r>
          </w:p>
        </w:tc>
        <w:tc>
          <w:tcPr>
            <w:tcW w:w="32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color w:val="000000"/>
                <w:kern w:val="0"/>
                <w:sz w:val="22"/>
                <w:szCs w:val="22"/>
              </w:rPr>
            </w:pPr>
            <w:r>
              <w:rPr>
                <w:rFonts w:ascii="Arial" w:hAnsi="Arial" w:cs="Arial"/>
                <w:color w:val="000000"/>
                <w:kern w:val="0"/>
                <w:sz w:val="22"/>
                <w:szCs w:val="22"/>
              </w:rPr>
              <w:t>机械、机电一体化、自动化等相关专业</w:t>
            </w:r>
          </w:p>
        </w:tc>
        <w:tc>
          <w:tcPr>
            <w:tcW w:w="33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2"/>
                <w:szCs w:val="22"/>
              </w:rPr>
            </w:pPr>
            <w:r>
              <w:rPr>
                <w:rFonts w:ascii="Arial" w:hAnsi="Arial" w:cs="Arial"/>
                <w:color w:val="000000"/>
                <w:kern w:val="0"/>
                <w:sz w:val="22"/>
                <w:szCs w:val="22"/>
              </w:rPr>
              <w:t>本科及其以上</w:t>
            </w:r>
          </w:p>
        </w:tc>
        <w:tc>
          <w:tcPr>
            <w:tcW w:w="12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Arial" w:hAnsi="Arial" w:cs="Arial"/>
                <w:color w:val="000000"/>
                <w:kern w:val="0"/>
                <w:sz w:val="22"/>
                <w:szCs w:val="22"/>
              </w:rPr>
              <w:t>山东</w:t>
            </w:r>
            <w:r>
              <w:rPr>
                <w:rFonts w:hint="eastAsia" w:ascii="Arial" w:hAnsi="Arial" w:cs="Arial"/>
                <w:color w:val="000000"/>
                <w:kern w:val="0"/>
                <w:sz w:val="22"/>
                <w:szCs w:val="22"/>
                <w:lang w:eastAsia="zh-CN"/>
              </w:rPr>
              <w:t>、江苏</w:t>
            </w:r>
          </w:p>
        </w:tc>
        <w:tc>
          <w:tcPr>
            <w:tcW w:w="12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Arial" w:hAnsi="Arial" w:eastAsia="宋体" w:cs="Arial"/>
                <w:color w:val="000000"/>
                <w:kern w:val="0"/>
                <w:sz w:val="22"/>
                <w:szCs w:val="22"/>
                <w:lang w:val="en-US" w:eastAsia="zh-CN"/>
              </w:rPr>
            </w:pPr>
            <w:r>
              <w:rPr>
                <w:rFonts w:hint="eastAsia" w:ascii="Arial" w:hAnsi="Arial" w:cs="Arial"/>
                <w:color w:val="000000"/>
                <w:kern w:val="0"/>
                <w:sz w:val="22"/>
                <w:szCs w:val="22"/>
                <w:lang w:val="en-US" w:eastAsia="zh-CN"/>
              </w:rPr>
              <w:t>20</w:t>
            </w:r>
          </w:p>
        </w:tc>
      </w:tr>
    </w:tbl>
    <w:p>
      <w:pPr>
        <w:spacing w:line="360" w:lineRule="auto"/>
        <w:rPr>
          <w:rFonts w:ascii="仿宋_GB2312" w:hAnsi="宋体" w:eastAsia="仿宋_GB2312"/>
          <w:b/>
          <w:sz w:val="28"/>
          <w:szCs w:val="28"/>
        </w:rPr>
      </w:pPr>
      <w:bookmarkStart w:id="0" w:name="_GoBack"/>
      <w:bookmarkEnd w:id="0"/>
    </w:p>
    <w:p>
      <w:pPr>
        <w:spacing w:line="360" w:lineRule="auto"/>
        <w:ind w:firstLine="562" w:firstLineChars="200"/>
        <w:rPr>
          <w:rFonts w:ascii="仿宋_GB2312" w:hAnsi="宋体" w:eastAsia="仿宋_GB2312"/>
          <w:sz w:val="28"/>
          <w:szCs w:val="28"/>
        </w:rPr>
      </w:pPr>
      <w:r>
        <w:rPr>
          <w:rFonts w:hint="eastAsia" w:ascii="仿宋_GB2312" w:hAnsi="宋体" w:eastAsia="仿宋_GB2312"/>
          <w:b/>
          <w:sz w:val="28"/>
          <w:szCs w:val="28"/>
        </w:rPr>
        <w:t>五、富有竞争力的薪酬</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1、基本工资</w:t>
      </w:r>
    </w:p>
    <w:p>
      <w:pPr>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rPr>
        <w:t>本科生年综合收入9-11万，研究生年综合收入10-12万。</w:t>
      </w:r>
    </w:p>
    <w:p>
      <w:pPr>
        <w:spacing w:line="360" w:lineRule="auto"/>
        <w:ind w:firstLine="643" w:firstLineChars="200"/>
        <w:rPr>
          <w:rFonts w:ascii="仿宋_GB2312" w:hAnsi="宋体" w:eastAsia="仿宋_GB2312"/>
          <w:b/>
          <w:color w:val="FF0000"/>
          <w:sz w:val="32"/>
          <w:szCs w:val="32"/>
        </w:rPr>
      </w:pPr>
      <w:r>
        <w:rPr>
          <w:rFonts w:hint="eastAsia" w:ascii="仿宋_GB2312" w:hAnsi="宋体" w:eastAsia="仿宋_GB2312"/>
          <w:b/>
          <w:color w:val="FF0000"/>
          <w:sz w:val="32"/>
          <w:szCs w:val="32"/>
        </w:rPr>
        <w:t>海科集团除去月工资外另有其他多种计薪方式，具体形式保密。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2、绩效补贴</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按照集团整体的盈利状况，为员工提供获得额外报酬的机会，同时也是基于个人表现的薪酬计划，目的是与员工共同分享公司良好的经济效益。</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3、保障福利计划</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为加入海科的所有员工缴纳养老保险、医疗保险、失业保险、工伤保险、生育保险、住房公积金，同时公司为员工缴纳商业意外伤害保险、集团内部互助救济基金。</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4、其它福利</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免费提供宿舍、通勤班车、劳保用品，发放中秋节、春节福利、五险一金。</w:t>
      </w:r>
    </w:p>
    <w:p>
      <w:pPr>
        <w:spacing w:line="360" w:lineRule="auto"/>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六、校园招聘流程</w:t>
      </w:r>
    </w:p>
    <w:p>
      <w:pPr>
        <w:numPr>
          <w:ilvl w:val="0"/>
          <w:numId w:val="1"/>
        </w:numPr>
        <w:tabs>
          <w:tab w:val="left" w:pos="567"/>
          <w:tab w:val="left" w:pos="993"/>
        </w:tabs>
        <w:spacing w:line="360" w:lineRule="auto"/>
        <w:ind w:left="0" w:firstLine="560" w:firstLineChars="200"/>
        <w:rPr>
          <w:rFonts w:ascii="仿宋_GB2312" w:hAnsi="Arial" w:eastAsia="仿宋_GB2312" w:cs="宋体"/>
          <w:bCs/>
          <w:color w:val="000000"/>
          <w:sz w:val="28"/>
          <w:szCs w:val="28"/>
          <w:lang w:val="zh-CN"/>
        </w:rPr>
      </w:pPr>
      <w:r>
        <w:rPr>
          <w:rFonts w:hint="eastAsia" w:ascii="仿宋_GB2312" w:hAnsi="Arial" w:eastAsia="仿宋_GB2312" w:cs="宋体"/>
          <w:bCs/>
          <w:color w:val="000000"/>
          <w:sz w:val="28"/>
          <w:szCs w:val="28"/>
          <w:lang w:val="zh-CN"/>
        </w:rPr>
        <w:t>关注集团官网及学校就业信息网发布的招聘行程。</w:t>
      </w:r>
    </w:p>
    <w:p>
      <w:pPr>
        <w:numPr>
          <w:ilvl w:val="0"/>
          <w:numId w:val="1"/>
        </w:numPr>
        <w:tabs>
          <w:tab w:val="left" w:pos="567"/>
          <w:tab w:val="left" w:pos="993"/>
        </w:tabs>
        <w:spacing w:line="360" w:lineRule="auto"/>
        <w:ind w:left="0" w:firstLine="560" w:firstLineChars="200"/>
        <w:rPr>
          <w:rFonts w:ascii="仿宋_GB2312" w:hAnsi="Arial" w:eastAsia="仿宋_GB2312" w:cs="宋体"/>
          <w:bCs/>
          <w:color w:val="000000"/>
          <w:sz w:val="28"/>
          <w:szCs w:val="28"/>
          <w:lang w:val="zh-CN"/>
        </w:rPr>
      </w:pPr>
      <w:r>
        <w:rPr>
          <w:rFonts w:hint="eastAsia" w:ascii="仿宋_GB2312" w:hAnsi="Arial" w:eastAsia="仿宋_GB2312" w:cs="宋体"/>
          <w:bCs/>
          <w:color w:val="000000"/>
          <w:sz w:val="28"/>
          <w:szCs w:val="28"/>
          <w:lang w:val="zh-CN"/>
        </w:rPr>
        <w:t>参加海科集团在学校内举办的宣讲会及现场面试。</w:t>
      </w:r>
    </w:p>
    <w:p>
      <w:pPr>
        <w:numPr>
          <w:ilvl w:val="0"/>
          <w:numId w:val="1"/>
        </w:numPr>
        <w:tabs>
          <w:tab w:val="left" w:pos="567"/>
          <w:tab w:val="left" w:pos="993"/>
        </w:tabs>
        <w:spacing w:line="360" w:lineRule="auto"/>
        <w:ind w:left="0" w:firstLine="560" w:firstLineChars="200"/>
        <w:rPr>
          <w:rFonts w:ascii="仿宋_GB2312" w:hAnsi="Arial" w:eastAsia="仿宋_GB2312" w:cs="宋体"/>
          <w:bCs/>
          <w:color w:val="000000"/>
          <w:sz w:val="28"/>
          <w:szCs w:val="28"/>
          <w:lang w:val="zh-CN"/>
        </w:rPr>
      </w:pPr>
      <w:r>
        <w:rPr>
          <w:rFonts w:hint="eastAsia" w:ascii="仿宋_GB2312" w:hAnsi="Arial" w:eastAsia="仿宋_GB2312" w:cs="宋体"/>
          <w:bCs/>
          <w:color w:val="000000"/>
          <w:sz w:val="28"/>
          <w:szCs w:val="28"/>
          <w:lang w:val="zh-CN"/>
        </w:rPr>
        <w:t>请在规定时间内完成网上人才测评，账号由工作人员现场发放。</w:t>
      </w:r>
    </w:p>
    <w:p>
      <w:pPr>
        <w:numPr>
          <w:ilvl w:val="0"/>
          <w:numId w:val="1"/>
        </w:numPr>
        <w:tabs>
          <w:tab w:val="left" w:pos="567"/>
          <w:tab w:val="left" w:pos="993"/>
        </w:tabs>
        <w:spacing w:line="360" w:lineRule="auto"/>
        <w:ind w:left="0" w:firstLine="560" w:firstLineChars="200"/>
        <w:rPr>
          <w:rFonts w:ascii="仿宋_GB2312" w:eastAsia="仿宋_GB2312"/>
          <w:color w:val="000000"/>
          <w:sz w:val="28"/>
          <w:szCs w:val="28"/>
        </w:rPr>
      </w:pPr>
      <w:r>
        <w:rPr>
          <w:rFonts w:hint="eastAsia" w:ascii="仿宋_GB2312" w:hAnsi="Arial" w:eastAsia="仿宋_GB2312" w:cs="宋体"/>
          <w:bCs/>
          <w:color w:val="000000"/>
          <w:sz w:val="28"/>
          <w:szCs w:val="28"/>
          <w:lang w:val="zh-CN"/>
        </w:rPr>
        <w:t>通过面试被录用的应聘者请在规定时间完成网上签约或签订三方协议。</w:t>
      </w:r>
    </w:p>
    <w:p>
      <w:pPr>
        <w:spacing w:line="360" w:lineRule="auto"/>
        <w:ind w:firstLine="562" w:firstLineChars="200"/>
        <w:rPr>
          <w:rFonts w:ascii="仿宋_GB2312" w:eastAsia="仿宋_GB2312"/>
          <w:b/>
          <w:sz w:val="28"/>
          <w:szCs w:val="28"/>
        </w:rPr>
      </w:pPr>
      <w:r>
        <w:rPr>
          <w:rFonts w:hint="eastAsia" w:ascii="仿宋_GB2312" w:hAnsi="宋体" w:eastAsia="仿宋_GB2312"/>
          <w:b/>
          <w:sz w:val="28"/>
          <w:szCs w:val="28"/>
        </w:rPr>
        <w:t>七、联系我们</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地址：山东省东营市东营区北一路</w:t>
      </w:r>
      <w:r>
        <w:rPr>
          <w:rFonts w:hint="eastAsia" w:ascii="仿宋_GB2312" w:eastAsia="仿宋_GB2312"/>
          <w:sz w:val="28"/>
          <w:szCs w:val="28"/>
        </w:rPr>
        <w:t>726</w:t>
      </w:r>
      <w:r>
        <w:rPr>
          <w:rFonts w:hint="eastAsia" w:ascii="仿宋_GB2312" w:hAnsi="宋体" w:eastAsia="仿宋_GB2312"/>
          <w:sz w:val="28"/>
          <w:szCs w:val="28"/>
        </w:rPr>
        <w:t>号海科大厦邮编：</w:t>
      </w:r>
      <w:r>
        <w:rPr>
          <w:rFonts w:hint="eastAsia" w:ascii="仿宋_GB2312" w:eastAsia="仿宋_GB2312"/>
          <w:sz w:val="28"/>
          <w:szCs w:val="28"/>
        </w:rPr>
        <w:t>257088</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电话：</w:t>
      </w:r>
      <w:r>
        <w:rPr>
          <w:rFonts w:hint="eastAsia" w:ascii="仿宋_GB2312" w:eastAsia="仿宋_GB2312"/>
          <w:sz w:val="28"/>
          <w:szCs w:val="28"/>
        </w:rPr>
        <w:t>0546-</w:t>
      </w:r>
      <w:r>
        <w:rPr>
          <w:rFonts w:hint="eastAsia" w:ascii="仿宋_GB2312" w:eastAsia="仿宋_GB2312"/>
          <w:sz w:val="28"/>
          <w:szCs w:val="28"/>
          <w:lang w:val="en-US" w:eastAsia="zh-CN"/>
        </w:rPr>
        <w:t>7078867/</w:t>
      </w:r>
      <w:r>
        <w:rPr>
          <w:rFonts w:hint="eastAsia" w:ascii="仿宋_GB2312" w:eastAsia="仿宋_GB2312"/>
          <w:sz w:val="28"/>
          <w:szCs w:val="28"/>
        </w:rPr>
        <w:t xml:space="preserve">7791123    </w:t>
      </w:r>
      <w:r>
        <w:rPr>
          <w:rFonts w:hint="eastAsia" w:ascii="仿宋_GB2312" w:hAnsi="宋体" w:eastAsia="仿宋_GB2312"/>
          <w:sz w:val="28"/>
          <w:szCs w:val="28"/>
        </w:rPr>
        <w:t>邮箱：</w:t>
      </w:r>
      <w:r>
        <w:rPr>
          <w:rFonts w:hint="eastAsia" w:ascii="仿宋_GB2312" w:eastAsia="仿宋_GB2312"/>
          <w:sz w:val="28"/>
          <w:szCs w:val="28"/>
        </w:rPr>
        <w:t>zhaopin@haikegroup.com</w:t>
      </w:r>
    </w:p>
    <w:p>
      <w:pPr>
        <w:spacing w:line="360" w:lineRule="auto"/>
        <w:ind w:firstLine="560" w:firstLineChars="200"/>
        <w:rPr>
          <w:rFonts w:ascii="仿宋_GB2312"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刘经理</w:t>
      </w:r>
      <w:r>
        <w:rPr>
          <w:rFonts w:hint="eastAsia" w:ascii="仿宋_GB2312" w:hAnsi="宋体" w:eastAsia="仿宋_GB2312"/>
          <w:sz w:val="28"/>
          <w:szCs w:val="28"/>
          <w:lang w:val="en-US" w:eastAsia="zh-CN"/>
        </w:rPr>
        <w:t>/</w:t>
      </w:r>
      <w:r>
        <w:rPr>
          <w:rFonts w:hint="eastAsia" w:ascii="仿宋_GB2312" w:hAnsi="宋体" w:eastAsia="仿宋_GB2312"/>
          <w:sz w:val="28"/>
          <w:szCs w:val="28"/>
          <w:lang w:eastAsia="zh-CN"/>
        </w:rPr>
        <w:t>延经理</w:t>
      </w:r>
      <w:r>
        <w:rPr>
          <w:rFonts w:hint="eastAsia" w:ascii="仿宋_GB2312" w:hAnsi="宋体" w:eastAsia="仿宋_GB2312"/>
          <w:sz w:val="28"/>
          <w:szCs w:val="28"/>
        </w:rPr>
        <w:t xml:space="preserve">         网址：</w:t>
      </w:r>
      <w:r>
        <w:fldChar w:fldCharType="begin"/>
      </w:r>
      <w:r>
        <w:instrText xml:space="preserve"> HYPERLINK "http://www.haikegroup" </w:instrText>
      </w:r>
      <w:r>
        <w:fldChar w:fldCharType="separate"/>
      </w:r>
      <w:r>
        <w:rPr>
          <w:rFonts w:hint="eastAsia" w:ascii="仿宋_GB2312" w:eastAsia="仿宋_GB2312"/>
          <w:sz w:val="28"/>
          <w:szCs w:val="28"/>
        </w:rPr>
        <w:t>www.haikegroup</w:t>
      </w:r>
      <w:r>
        <w:rPr>
          <w:rFonts w:hint="eastAsia" w:ascii="仿宋_GB2312" w:eastAsia="仿宋_GB2312"/>
          <w:sz w:val="28"/>
          <w:szCs w:val="28"/>
        </w:rPr>
        <w:fldChar w:fldCharType="end"/>
      </w:r>
      <w:r>
        <w:rPr>
          <w:rFonts w:hint="eastAsia" w:ascii="仿宋_GB2312" w:eastAsia="仿宋_GB2312"/>
          <w:sz w:val="28"/>
          <w:szCs w:val="28"/>
        </w:rPr>
        <w:t>.com</w:t>
      </w:r>
    </w:p>
    <w:sectPr>
      <w:headerReference r:id="rId3" w:type="default"/>
      <w:footerReference r:id="rId4" w:type="default"/>
      <w:pgSz w:w="11906" w:h="16838"/>
      <w:pgMar w:top="1191" w:right="1191" w:bottom="1191"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1"/>
        <w:szCs w:val="21"/>
      </w:rPr>
    </w:pPr>
    <w:r>
      <w:rPr>
        <w:rFonts w:hint="eastAsia" w:ascii="仿宋_GB2312" w:eastAsia="仿宋_GB2312"/>
        <w:kern w:val="0"/>
        <w:sz w:val="21"/>
        <w:szCs w:val="21"/>
      </w:rPr>
      <w:t xml:space="preserve">山东海科化工集团招聘简章                                                                 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ascii="仿宋_GB2312" w:eastAsia="仿宋_GB2312"/>
        <w:sz w:val="21"/>
        <w:szCs w:val="21"/>
        <w:u w:val="single"/>
      </w:rPr>
    </w:pPr>
    <w:r>
      <w:rPr>
        <w:rFonts w:hint="eastAsia" w:ascii="仿宋_GB2312" w:eastAsia="仿宋_GB2312"/>
        <w:b/>
        <w:sz w:val="21"/>
        <w:szCs w:val="21"/>
        <w:u w:val="single"/>
      </w:rPr>
      <w:pict>
        <v:shape id="_x0000_i1025" o:spt="75" alt="白底中文黑 (2)" type="#_x0000_t75" style="height:36.35pt;width:62.2pt;" filled="f" o:preferrelative="t" stroked="f" coordsize="21600,21600">
          <v:path/>
          <v:fill on="f" focussize="0,0"/>
          <v:stroke on="f"/>
          <v:imagedata r:id="rId1" o:title="白底中文黑 (2)"/>
          <o:lock v:ext="edit" aspectratio="t"/>
          <w10:wrap type="none"/>
          <w10:anchorlock/>
        </v:shape>
      </w:pict>
    </w:r>
    <w:r>
      <w:rPr>
        <w:rFonts w:hint="eastAsia" w:ascii="仿宋_GB2312" w:eastAsia="仿宋_GB2312"/>
        <w:b/>
        <w:sz w:val="21"/>
        <w:szCs w:val="21"/>
        <w:u w:val="single"/>
      </w:rPr>
      <w:t xml:space="preserve">    </w:t>
    </w:r>
    <w:r>
      <w:rPr>
        <w:rFonts w:hint="eastAsia" w:ascii="仿宋_GB2312" w:eastAsia="仿宋_GB2312"/>
        <w:b/>
        <w:sz w:val="21"/>
        <w:szCs w:val="21"/>
        <w:u w:val="single"/>
        <w:lang w:val="en-US" w:eastAsia="zh-CN"/>
      </w:rPr>
      <w:t xml:space="preserve">               </w:t>
    </w:r>
    <w:r>
      <w:rPr>
        <w:rFonts w:hint="eastAsia" w:ascii="仿宋_GB2312" w:eastAsia="仿宋_GB2312"/>
        <w:b/>
        <w:sz w:val="21"/>
        <w:szCs w:val="21"/>
        <w:u w:val="single"/>
      </w:rPr>
      <w:t xml:space="preserve">                                        学习 现代 速度 精细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A17CF"/>
    <w:multiLevelType w:val="multilevel"/>
    <w:tmpl w:val="641A17CF"/>
    <w:lvl w:ilvl="0" w:tentative="0">
      <w:start w:val="1"/>
      <w:numFmt w:val="decimal"/>
      <w:lvlText w:val="%1、"/>
      <w:lvlJc w:val="left"/>
      <w:pPr>
        <w:ind w:left="876" w:hanging="450"/>
      </w:pPr>
      <w:rPr>
        <w:rFonts w:hint="default" w:ascii="Times New Roman" w:hAnsi="宋体" w:cs="Times New Roman"/>
        <w:sz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70EA11A9"/>
    <w:rsid w:val="71DC69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styleId="8">
    <w:name w:val="page number"/>
    <w:basedOn w:val="6"/>
    <w:qFormat/>
    <w:uiPriority w:val="0"/>
  </w:style>
  <w:style w:type="character" w:styleId="9">
    <w:name w:val="Hyperlink"/>
    <w:qFormat/>
    <w:uiPriority w:val="0"/>
    <w:rPr>
      <w:color w:val="0000FF"/>
      <w:u w:val="singl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link w:val="3"/>
    <w:qFormat/>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262</Words>
  <Characters>1496</Characters>
  <Lines>12</Lines>
  <Paragraphs>3</Paragraphs>
  <ScaleCrop>false</ScaleCrop>
  <LinksUpToDate>false</LinksUpToDate>
  <CharactersWithSpaces>1755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2014-05-28T16:36:00Z</dcterms:created>
  <dc:creator>曹子凯</dc:creator>
  <cp:lastModifiedBy>pc</cp:lastModifiedBy>
  <cp:lastPrinted>2012-10-20T17:52:00Z</cp:lastPrinted>
  <dcterms:modified xsi:type="dcterms:W3CDTF">2018-04-08T06:24:27Z</dcterms:modified>
  <dc:title> </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